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42BA" w14:textId="74AB5513" w:rsidR="00615C0F" w:rsidRDefault="00615C0F" w:rsidP="00615C0F">
      <w:pPr>
        <w:pStyle w:val="Heading1"/>
        <w:spacing w:before="120"/>
        <w:jc w:val="center"/>
        <w:rPr>
          <w:szCs w:val="48"/>
        </w:rPr>
      </w:pPr>
      <w:r w:rsidRPr="000F3089">
        <w:rPr>
          <w:szCs w:val="48"/>
        </w:rPr>
        <w:t>P</w:t>
      </w:r>
      <w:r w:rsidR="000E0142">
        <w:rPr>
          <w:szCs w:val="48"/>
        </w:rPr>
        <w:t>RACTICE GUIDE</w:t>
      </w:r>
    </w:p>
    <w:p w14:paraId="47A5581F" w14:textId="3828149B" w:rsidR="000E0142" w:rsidRPr="000E0142" w:rsidRDefault="000E0142" w:rsidP="000E0142">
      <w:pPr>
        <w:pStyle w:val="Heading2"/>
        <w:jc w:val="center"/>
      </w:pPr>
      <w:r>
        <w:t>Process for expiring child protection orders</w:t>
      </w:r>
    </w:p>
    <w:p w14:paraId="70AC8673" w14:textId="77777777" w:rsidR="00615C0F" w:rsidRDefault="00615C0F" w:rsidP="00615C0F">
      <w:pPr>
        <w:pBdr>
          <w:bottom w:val="single" w:sz="4" w:space="1" w:color="auto"/>
        </w:pBdr>
        <w:rPr>
          <w:sz w:val="12"/>
        </w:rPr>
      </w:pPr>
    </w:p>
    <w:p w14:paraId="46319CD1" w14:textId="77777777" w:rsidR="000E0142" w:rsidRPr="00DB717B" w:rsidRDefault="000E0142" w:rsidP="000E0142">
      <w:bookmarkStart w:id="0" w:name="_Hlk95814980"/>
      <w:r w:rsidRPr="00DB717B">
        <w:t xml:space="preserve">The process below outlines how </w:t>
      </w:r>
      <w:r>
        <w:t>Child Safety staff and Office of the Child and Family Official Solicitor (OCFOS) lawyers</w:t>
      </w:r>
      <w:r w:rsidRPr="00DB717B">
        <w:t xml:space="preserve"> can bring their different areas of expertise together to achieve the best possible outcomes for children and families at the point where an existing child protection order is expiring.</w:t>
      </w:r>
    </w:p>
    <w:p w14:paraId="7859D5F7" w14:textId="77777777" w:rsidR="000E0142" w:rsidRDefault="000E0142" w:rsidP="000E0142">
      <w:r w:rsidRPr="00DB717B">
        <w:t>OCFO</w:t>
      </w:r>
      <w:r>
        <w:t>S</w:t>
      </w:r>
      <w:r w:rsidRPr="00DB717B">
        <w:t xml:space="preserve"> is Child Safety’s in-house legal advice service. </w:t>
      </w:r>
      <w:r>
        <w:t>Its</w:t>
      </w:r>
      <w:r w:rsidRPr="00DB717B">
        <w:t xml:space="preserve"> role is to provide Child Safety staff with early, </w:t>
      </w:r>
      <w:proofErr w:type="gramStart"/>
      <w:r w:rsidRPr="00DB717B">
        <w:t>independent</w:t>
      </w:r>
      <w:proofErr w:type="gramEnd"/>
      <w:r w:rsidRPr="00DB717B">
        <w:t xml:space="preserve"> and ongoing legal advice about child protection matters, </w:t>
      </w:r>
      <w:r w:rsidRPr="00A15B8B">
        <w:t>and to assist in the preparation and review of court material in certain circumstances.</w:t>
      </w:r>
      <w:r w:rsidRPr="00DB717B">
        <w:t xml:space="preserve"> OCFOS</w:t>
      </w:r>
      <w:r>
        <w:t xml:space="preserve"> lawyers</w:t>
      </w:r>
      <w:r w:rsidRPr="00DB717B">
        <w:t xml:space="preserve"> prepare a brief of evidence to be provided to the Director of Child Protection Litigation (DCPL) in matters where Child Safety considers a child protection order should be sought.</w:t>
      </w:r>
    </w:p>
    <w:bookmarkEnd w:id="0"/>
    <w:p w14:paraId="2951961B" w14:textId="77777777" w:rsidR="000E0142" w:rsidRPr="000E0142" w:rsidRDefault="000E0142" w:rsidP="000E0142">
      <w:pPr>
        <w:pStyle w:val="Heading2"/>
      </w:pPr>
      <w:r w:rsidRPr="000E0142">
        <w:t>Process and timeframes</w:t>
      </w:r>
    </w:p>
    <w:p w14:paraId="2AC6BAEA" w14:textId="77777777" w:rsidR="000E0142" w:rsidRDefault="000E0142" w:rsidP="000E0142">
      <w:r>
        <w:t xml:space="preserve">The process for deciding whether a child continues to </w:t>
      </w:r>
      <w:proofErr w:type="gramStart"/>
      <w:r>
        <w:t>be in need of</w:t>
      </w:r>
      <w:proofErr w:type="gramEnd"/>
      <w:r>
        <w:t xml:space="preserve"> protection and whether a subsequent child protection order is required to ensure their safety, wellbeing and best interests begins no less than 6 months prior to the expiration of the current child protection order. </w:t>
      </w:r>
    </w:p>
    <w:p w14:paraId="3F054E79" w14:textId="77777777" w:rsidR="000E0142" w:rsidRDefault="000E0142" w:rsidP="000E0142">
      <w:pPr>
        <w:pStyle w:val="Heading3"/>
      </w:pPr>
      <w:r>
        <w:t>Six months prior to the expiration of a child protection order</w:t>
      </w:r>
    </w:p>
    <w:p w14:paraId="608DCB04" w14:textId="77777777" w:rsidR="000E0142" w:rsidRDefault="000E0142" w:rsidP="000E0142">
      <w:r>
        <w:t>Six months prior to the expiration of a child protection order, the child safety officer (CSO) will complete a file review. The file review:</w:t>
      </w:r>
    </w:p>
    <w:p w14:paraId="3AB2330B" w14:textId="77777777" w:rsidR="000E0142" w:rsidRDefault="000E0142" w:rsidP="000E0142">
      <w:pPr>
        <w:pStyle w:val="ListParagraph"/>
        <w:numPr>
          <w:ilvl w:val="0"/>
          <w:numId w:val="3"/>
        </w:numPr>
      </w:pPr>
      <w:r>
        <w:t xml:space="preserve">helps to identify information relevant to the assessment about whether the child continues to </w:t>
      </w:r>
      <w:proofErr w:type="gramStart"/>
      <w:r>
        <w:t>be in need of</w:t>
      </w:r>
      <w:proofErr w:type="gramEnd"/>
      <w:r>
        <w:t xml:space="preserve"> protection</w:t>
      </w:r>
    </w:p>
    <w:p w14:paraId="615CF79F" w14:textId="318FF1F8" w:rsidR="000E0142" w:rsidRDefault="000E0142" w:rsidP="000E0142">
      <w:pPr>
        <w:pStyle w:val="ListParagraph"/>
        <w:numPr>
          <w:ilvl w:val="0"/>
          <w:numId w:val="3"/>
        </w:numPr>
      </w:pPr>
      <w:r>
        <w:t xml:space="preserve">enables the early collation of relevant documents that may be required to support an application for a subsequent child protection order, if necessary (Refer to </w:t>
      </w:r>
      <w:hyperlink w:anchor="Relevantdocuments" w:history="1">
        <w:r w:rsidRPr="00EB787C">
          <w:rPr>
            <w:rStyle w:val="Hyperlink"/>
          </w:rPr>
          <w:t>Relevant documents</w:t>
        </w:r>
      </w:hyperlink>
      <w:r>
        <w:t xml:space="preserve"> below).</w:t>
      </w:r>
    </w:p>
    <w:p w14:paraId="46948BAB" w14:textId="77777777" w:rsidR="000E0142" w:rsidRDefault="000E0142" w:rsidP="000E0142">
      <w:r>
        <w:t xml:space="preserve">The CSO may also engage the family and its safety and support network in a collaborative assessment and planning (CAP) process, using the CAP framework. </w:t>
      </w:r>
    </w:p>
    <w:p w14:paraId="4BBEF118" w14:textId="77777777" w:rsidR="000E0142" w:rsidRDefault="000E0142" w:rsidP="000E0142">
      <w:r>
        <w:t>The CSO will discuss the assessment, based on the information from the file review and updated CAP framework with the senior team leader to decide:</w:t>
      </w:r>
    </w:p>
    <w:p w14:paraId="7733F49D" w14:textId="77777777" w:rsidR="000E0142" w:rsidRPr="007E3FB7" w:rsidRDefault="000E0142" w:rsidP="000E0142">
      <w:pPr>
        <w:pStyle w:val="ListParagraph"/>
        <w:numPr>
          <w:ilvl w:val="0"/>
          <w:numId w:val="2"/>
        </w:numPr>
      </w:pPr>
      <w:r w:rsidRPr="007E3FB7">
        <w:t>whether the child is likely to be a child in need of protection when the child protection order expires</w:t>
      </w:r>
    </w:p>
    <w:p w14:paraId="1F3C3581" w14:textId="77777777" w:rsidR="000E0142" w:rsidRPr="007E3FB7" w:rsidRDefault="000E0142" w:rsidP="000E0142">
      <w:pPr>
        <w:pStyle w:val="ListParagraph"/>
        <w:numPr>
          <w:ilvl w:val="0"/>
          <w:numId w:val="2"/>
        </w:numPr>
      </w:pPr>
      <w:r w:rsidRPr="007E3FB7">
        <w:t>the type of intervention that is likely to meet the child’s needs, if the child is likely to be a child in need of protection.</w:t>
      </w:r>
    </w:p>
    <w:p w14:paraId="63DD631D" w14:textId="77777777" w:rsidR="000E0142" w:rsidRDefault="000E0142" w:rsidP="000E0142">
      <w:r>
        <w:t xml:space="preserve">If the CSO and senior team leader are uncertain about how to proceed, they will schedule a case consultation with the senior practitioner. </w:t>
      </w:r>
    </w:p>
    <w:p w14:paraId="79C696F7" w14:textId="77777777" w:rsidR="000E0142" w:rsidRPr="000E0142" w:rsidRDefault="000E0142" w:rsidP="000E0142">
      <w:pPr>
        <w:rPr>
          <w:rStyle w:val="Emphasis"/>
        </w:rPr>
      </w:pPr>
      <w:bookmarkStart w:id="1" w:name="_Hlk95815047"/>
      <w:r w:rsidRPr="000E0142">
        <w:rPr>
          <w:rStyle w:val="Emphasis"/>
        </w:rPr>
        <w:t xml:space="preserve">Initial legal consultation </w:t>
      </w:r>
    </w:p>
    <w:p w14:paraId="529A7100" w14:textId="2739A0DA" w:rsidR="000E0142" w:rsidRPr="000E0142" w:rsidRDefault="000E0142" w:rsidP="000E0142">
      <w:r w:rsidRPr="000E0142">
        <w:t xml:space="preserve">The CSO and senior team leader will seek an initial legal consultation with the OCFOS lawyer to discuss their preliminary assessment. This discussion will include a review of the evidence </w:t>
      </w:r>
      <w:r w:rsidRPr="000E0142">
        <w:lastRenderedPageBreak/>
        <w:t>supporting the assessment, which will provide opportunity for the OCFOS lawyer to identify any gaps in the evidence. The OCFOS lawyer will provide their advice in writing within 5 business days.</w:t>
      </w:r>
    </w:p>
    <w:p w14:paraId="09EDDCCD" w14:textId="59B19E6F" w:rsidR="000E0142" w:rsidRPr="000E0142" w:rsidRDefault="00A15B8B" w:rsidP="000E0142">
      <w:pPr>
        <w:pStyle w:val="Heading3"/>
      </w:pPr>
      <w:r>
        <w:t>Three</w:t>
      </w:r>
      <w:r w:rsidR="000E0142" w:rsidRPr="000E0142">
        <w:t xml:space="preserve"> months prior to the expiration date of a child protection order</w:t>
      </w:r>
    </w:p>
    <w:p w14:paraId="053C691C" w14:textId="2244ECE7" w:rsidR="000E0142" w:rsidRPr="000E0142" w:rsidRDefault="000A2002" w:rsidP="000E0142">
      <w:r>
        <w:t>Three</w:t>
      </w:r>
      <w:r w:rsidR="000E0142" w:rsidRPr="000E0142">
        <w:t xml:space="preserve"> months prior to the expiration date of a child protection order, the CSO will ensure all requests for information made in accordance with the </w:t>
      </w:r>
      <w:r w:rsidR="000E0142" w:rsidRPr="000E0142">
        <w:rPr>
          <w:i/>
          <w:iCs/>
        </w:rPr>
        <w:t>Child Protection Act 1999</w:t>
      </w:r>
      <w:r w:rsidR="000E0142" w:rsidRPr="000E0142">
        <w:t>, Chapter 5A and any other independent evidence is obtained to inform their assessment.</w:t>
      </w:r>
    </w:p>
    <w:p w14:paraId="016DBAA2" w14:textId="77777777" w:rsidR="000E0142" w:rsidRPr="000E0142" w:rsidRDefault="000E0142" w:rsidP="000E0142">
      <w:r w:rsidRPr="000E0142">
        <w:t xml:space="preserve">The matter will be tabled at a practice panel for discussion where the CSO and senior team leader will present their assessment of whether the child continues to </w:t>
      </w:r>
      <w:proofErr w:type="gramStart"/>
      <w:r w:rsidRPr="000E0142">
        <w:t>be in need of</w:t>
      </w:r>
      <w:proofErr w:type="gramEnd"/>
      <w:r w:rsidRPr="000E0142">
        <w:t xml:space="preserve"> protection. The practice panel will authorise/confirm significant decisions including:</w:t>
      </w:r>
    </w:p>
    <w:p w14:paraId="699D89ED" w14:textId="77777777" w:rsidR="000E0142" w:rsidRPr="000E0142" w:rsidRDefault="000E0142" w:rsidP="000E0142">
      <w:pPr>
        <w:pStyle w:val="ListParagraph"/>
        <w:numPr>
          <w:ilvl w:val="0"/>
          <w:numId w:val="10"/>
        </w:numPr>
      </w:pPr>
      <w:r w:rsidRPr="000E0142">
        <w:t>whether the child continues to be a child in need of protection</w:t>
      </w:r>
    </w:p>
    <w:p w14:paraId="5BC14853" w14:textId="77777777" w:rsidR="000E0142" w:rsidRPr="000E0142" w:rsidRDefault="000E0142" w:rsidP="000E0142">
      <w:pPr>
        <w:pStyle w:val="ListParagraph"/>
        <w:numPr>
          <w:ilvl w:val="0"/>
          <w:numId w:val="10"/>
        </w:numPr>
      </w:pPr>
      <w:r w:rsidRPr="000E0142">
        <w:t>for a child not in need of protection, closing the case and making referrals for ongoing support</w:t>
      </w:r>
    </w:p>
    <w:p w14:paraId="21008DCB" w14:textId="77777777" w:rsidR="000E0142" w:rsidRPr="000E0142" w:rsidRDefault="000E0142" w:rsidP="000E0142">
      <w:pPr>
        <w:pStyle w:val="ListParagraph"/>
        <w:numPr>
          <w:ilvl w:val="0"/>
          <w:numId w:val="10"/>
        </w:numPr>
      </w:pPr>
      <w:r w:rsidRPr="000E0142">
        <w:t>for a child in need of protection, the most appropriate intervention to ensure the child’s safety, belonging and best interests.</w:t>
      </w:r>
    </w:p>
    <w:p w14:paraId="2D4C5EF8" w14:textId="77777777" w:rsidR="000E0142" w:rsidRPr="000E0142" w:rsidRDefault="000E0142" w:rsidP="000E0142">
      <w:pPr>
        <w:rPr>
          <w:rStyle w:val="Emphasis"/>
        </w:rPr>
      </w:pPr>
      <w:r w:rsidRPr="000E0142">
        <w:rPr>
          <w:rStyle w:val="Emphasis"/>
        </w:rPr>
        <w:t xml:space="preserve">Subsequent legal consultation </w:t>
      </w:r>
    </w:p>
    <w:p w14:paraId="65E408BD" w14:textId="1C544250" w:rsidR="000E0142" w:rsidRPr="000E0142" w:rsidRDefault="000E0142" w:rsidP="000E0142">
      <w:r w:rsidRPr="000E0142">
        <w:t xml:space="preserve">Where a practice panel has confirmed that the child continues to </w:t>
      </w:r>
      <w:proofErr w:type="gramStart"/>
      <w:r w:rsidRPr="000E0142">
        <w:t>be in need of</w:t>
      </w:r>
      <w:proofErr w:type="gramEnd"/>
      <w:r w:rsidRPr="000E0142">
        <w:t xml:space="preserve"> protection and a child protection order is required to meet their safety, belonging and wellbeing needs, the CSO and senior team leader will seek a subsequent legal consultation with the OCFOS lawyer.</w:t>
      </w:r>
      <w:r w:rsidR="00EB787C">
        <w:t xml:space="preserve"> For this consult, the OCFOS lawyer will be provided with the practice panel minutes and the current CAP framework completed with the family (where this has been completed).</w:t>
      </w:r>
      <w:r w:rsidRPr="000E0142">
        <w:t xml:space="preserve"> The purpose of the subsequent legal consultation is to:</w:t>
      </w:r>
    </w:p>
    <w:p w14:paraId="783020C9" w14:textId="73644A53" w:rsidR="000E0142" w:rsidRPr="000E0142" w:rsidRDefault="000E0142" w:rsidP="000E0142">
      <w:pPr>
        <w:pStyle w:val="ListParagraph"/>
        <w:numPr>
          <w:ilvl w:val="0"/>
          <w:numId w:val="11"/>
        </w:numPr>
      </w:pPr>
      <w:r w:rsidRPr="000E0142">
        <w:t>consider the endorsed assessment and review evidence to ensure that it is sufficient to support the proposed intervention</w:t>
      </w:r>
    </w:p>
    <w:p w14:paraId="6966AEF6" w14:textId="77777777" w:rsidR="000E0142" w:rsidRPr="000E0142" w:rsidRDefault="000E0142" w:rsidP="000E0142">
      <w:pPr>
        <w:pStyle w:val="ListParagraph"/>
        <w:numPr>
          <w:ilvl w:val="0"/>
          <w:numId w:val="11"/>
        </w:numPr>
      </w:pPr>
      <w:r w:rsidRPr="000E0142">
        <w:t xml:space="preserve">discuss the material needed to be included in the affidavit to support the application proposed to be sought </w:t>
      </w:r>
    </w:p>
    <w:p w14:paraId="418AC318" w14:textId="77777777" w:rsidR="000E0142" w:rsidRPr="000E0142" w:rsidRDefault="000E0142" w:rsidP="000E0142">
      <w:pPr>
        <w:pStyle w:val="ListParagraph"/>
        <w:numPr>
          <w:ilvl w:val="0"/>
          <w:numId w:val="11"/>
        </w:numPr>
      </w:pPr>
      <w:r w:rsidRPr="000E0142">
        <w:t>decide timeframes and tasks, to ensure the referral meets the DCPL timeframes.</w:t>
      </w:r>
    </w:p>
    <w:p w14:paraId="036B5780" w14:textId="549DA77A" w:rsidR="000E0142" w:rsidRDefault="000E0142" w:rsidP="000E0142">
      <w:r w:rsidRPr="000E0142">
        <w:t>The OCFOS lawyer will provide written legal advice on the merits of proceeding with a referral to the DCPL to the CSO and senior team leader. This legal advice will be based on the information provided to them and will be completed within 5 business days.</w:t>
      </w:r>
    </w:p>
    <w:p w14:paraId="3F2EE01E" w14:textId="65053F53" w:rsidR="000A2002" w:rsidRDefault="000A2002" w:rsidP="000E0142">
      <w:pPr>
        <w:rPr>
          <w:rStyle w:val="Emphasis"/>
        </w:rPr>
      </w:pPr>
      <w:r>
        <w:rPr>
          <w:rStyle w:val="Emphasis"/>
        </w:rPr>
        <w:t>Draft initial affidavit</w:t>
      </w:r>
    </w:p>
    <w:p w14:paraId="155B51EF" w14:textId="25ABE6E4" w:rsidR="000A2002" w:rsidRPr="000A2002" w:rsidRDefault="000A2002" w:rsidP="000E0142">
      <w:pPr>
        <w:rPr>
          <w:rStyle w:val="Emphasis"/>
          <w:i w:val="0"/>
          <w:iCs w:val="0"/>
        </w:rPr>
      </w:pPr>
      <w:r>
        <w:rPr>
          <w:rStyle w:val="Emphasis"/>
          <w:i w:val="0"/>
          <w:iCs w:val="0"/>
        </w:rPr>
        <w:t xml:space="preserve">After the senior team leader has considered the legal advice and decided the type and length of the child protection order to be recommended to the DCPL, the CSO will draft the initial affidavit.  </w:t>
      </w:r>
    </w:p>
    <w:p w14:paraId="47C06014" w14:textId="77777777" w:rsidR="000E0142" w:rsidRPr="000E0142" w:rsidRDefault="000E0142" w:rsidP="000E0142">
      <w:pPr>
        <w:pStyle w:val="Heading3"/>
      </w:pPr>
      <w:r w:rsidRPr="000E0142">
        <w:t>Twenty business days prior to the expiration of a child protection order</w:t>
      </w:r>
    </w:p>
    <w:p w14:paraId="3A32AF11" w14:textId="19BD3DDE" w:rsidR="000E0142" w:rsidRPr="000E0142" w:rsidRDefault="00FA2931" w:rsidP="000E0142">
      <w:r>
        <w:t xml:space="preserve">A referral to DCPL for an expiring child protection order must be made at least </w:t>
      </w:r>
      <w:r w:rsidR="000E0142" w:rsidRPr="000E0142">
        <w:t>20 business days prior to the expiration date</w:t>
      </w:r>
      <w:r>
        <w:t>.</w:t>
      </w:r>
      <w:r w:rsidR="00A403BC">
        <w:t xml:space="preserve"> </w:t>
      </w:r>
      <w:r>
        <w:t>T</w:t>
      </w:r>
      <w:r w:rsidR="000E0142" w:rsidRPr="000E0142">
        <w:t xml:space="preserve">he OCFOS lawyer </w:t>
      </w:r>
      <w:r>
        <w:t xml:space="preserve">will make the referral </w:t>
      </w:r>
      <w:r w:rsidR="000E0142" w:rsidRPr="000E0142">
        <w:t xml:space="preserve">to the DCPL. </w:t>
      </w:r>
      <w:bookmarkStart w:id="2" w:name="_Hlk95489947"/>
      <w:r w:rsidR="000E0142" w:rsidRPr="000E0142">
        <w:t>For a referral to the DCPL to be valid it must include:</w:t>
      </w:r>
    </w:p>
    <w:bookmarkEnd w:id="2"/>
    <w:p w14:paraId="4572E3CF" w14:textId="77777777" w:rsidR="000E0142" w:rsidRPr="000E0142" w:rsidRDefault="000E0142" w:rsidP="000E0142">
      <w:pPr>
        <w:pStyle w:val="ListParagraph"/>
        <w:numPr>
          <w:ilvl w:val="0"/>
          <w:numId w:val="12"/>
        </w:numPr>
      </w:pPr>
      <w:r w:rsidRPr="000E0142">
        <w:t>the referral form (Form A)</w:t>
      </w:r>
    </w:p>
    <w:p w14:paraId="639A64B9" w14:textId="0BFB294B" w:rsidR="000E0142" w:rsidRPr="000E0142" w:rsidRDefault="000E0142" w:rsidP="000E0142">
      <w:pPr>
        <w:pStyle w:val="ListParagraph"/>
        <w:numPr>
          <w:ilvl w:val="0"/>
          <w:numId w:val="12"/>
        </w:numPr>
      </w:pPr>
      <w:r w:rsidRPr="000E0142">
        <w:t>the initia</w:t>
      </w:r>
      <w:r w:rsidR="00FA2931">
        <w:t>l</w:t>
      </w:r>
      <w:r w:rsidRPr="000E0142">
        <w:t xml:space="preserve"> affidavit</w:t>
      </w:r>
    </w:p>
    <w:p w14:paraId="3516F5F5" w14:textId="70514514" w:rsidR="000E0142" w:rsidRPr="000E0142" w:rsidRDefault="000E0142" w:rsidP="000E0142">
      <w:pPr>
        <w:pStyle w:val="ListParagraph"/>
        <w:numPr>
          <w:ilvl w:val="0"/>
          <w:numId w:val="12"/>
        </w:numPr>
      </w:pPr>
      <w:r w:rsidRPr="000E0142">
        <w:lastRenderedPageBreak/>
        <w:t xml:space="preserve">relevant </w:t>
      </w:r>
      <w:r w:rsidR="00FA2931">
        <w:t xml:space="preserve">documents </w:t>
      </w:r>
      <w:r w:rsidRPr="000E0142">
        <w:t>exhibit</w:t>
      </w:r>
      <w:r w:rsidR="00A403BC">
        <w:t>ed</w:t>
      </w:r>
      <w:r w:rsidRPr="000E0142">
        <w:t xml:space="preserve"> to the affidavit in accordance with Rule 13 of the </w:t>
      </w:r>
      <w:proofErr w:type="spellStart"/>
      <w:r w:rsidRPr="000E0142">
        <w:rPr>
          <w:i/>
          <w:iCs/>
        </w:rPr>
        <w:t>Childrens</w:t>
      </w:r>
      <w:proofErr w:type="spellEnd"/>
      <w:r w:rsidRPr="000E0142">
        <w:rPr>
          <w:i/>
          <w:iCs/>
        </w:rPr>
        <w:t xml:space="preserve"> Court Rules 2016</w:t>
      </w:r>
      <w:r w:rsidRPr="000E0142">
        <w:t xml:space="preserve"> and the </w:t>
      </w:r>
      <w:r w:rsidRPr="000E0142">
        <w:rPr>
          <w:i/>
          <w:iCs/>
        </w:rPr>
        <w:t>Director of Child Protection Litigation Act 2016</w:t>
      </w:r>
    </w:p>
    <w:p w14:paraId="4CE68F4B" w14:textId="77777777" w:rsidR="000E0142" w:rsidRPr="000E0142" w:rsidRDefault="000E0142" w:rsidP="000E0142">
      <w:pPr>
        <w:pStyle w:val="ListParagraph"/>
        <w:numPr>
          <w:ilvl w:val="0"/>
          <w:numId w:val="12"/>
        </w:numPr>
      </w:pPr>
      <w:r w:rsidRPr="000E0142">
        <w:t xml:space="preserve">the </w:t>
      </w:r>
      <w:r w:rsidRPr="000E0142">
        <w:rPr>
          <w:color w:val="4F81BD" w:themeColor="accent1"/>
          <w:u w:val="single"/>
        </w:rPr>
        <w:t>Sensitive information checklist</w:t>
      </w:r>
      <w:r w:rsidRPr="000E0142">
        <w:t>.</w:t>
      </w:r>
    </w:p>
    <w:p w14:paraId="7D918408" w14:textId="77777777" w:rsidR="000E0142" w:rsidRPr="000E0142" w:rsidRDefault="000E0142" w:rsidP="00EB787C">
      <w:pPr>
        <w:pStyle w:val="Heading2"/>
      </w:pPr>
      <w:bookmarkStart w:id="3" w:name="Relevantdocuments"/>
      <w:bookmarkStart w:id="4" w:name="_Hlk95815293"/>
      <w:bookmarkEnd w:id="1"/>
      <w:r w:rsidRPr="000E0142">
        <w:t>Relevant documents</w:t>
      </w:r>
    </w:p>
    <w:bookmarkEnd w:id="3"/>
    <w:p w14:paraId="5283345F" w14:textId="61D5D5DA" w:rsidR="000E0142" w:rsidRPr="000E0142" w:rsidRDefault="000E0142" w:rsidP="000E0142">
      <w:r w:rsidRPr="000E0142">
        <w:t xml:space="preserve">Relevant documents are filed as evidence in child protection proceedings in accordance with </w:t>
      </w:r>
      <w:proofErr w:type="spellStart"/>
      <w:r w:rsidRPr="000E0142">
        <w:rPr>
          <w:i/>
          <w:iCs/>
        </w:rPr>
        <w:t>Childrens</w:t>
      </w:r>
      <w:proofErr w:type="spellEnd"/>
      <w:r w:rsidRPr="000E0142">
        <w:rPr>
          <w:i/>
          <w:iCs/>
        </w:rPr>
        <w:t xml:space="preserve"> Court Rules 2016,</w:t>
      </w:r>
      <w:r w:rsidRPr="000E0142">
        <w:t xml:space="preserve"> </w:t>
      </w:r>
      <w:hyperlink r:id="rId7" w:anchor="sec.13" w:history="1">
        <w:r w:rsidRPr="000E0142">
          <w:rPr>
            <w:color w:val="0000FF" w:themeColor="hyperlink"/>
            <w:u w:val="single"/>
          </w:rPr>
          <w:t>rule 13</w:t>
        </w:r>
      </w:hyperlink>
      <w:r w:rsidRPr="000E0142">
        <w:t>. Relevant documents are the documents relied on by the CSO in support of the assessment</w:t>
      </w:r>
      <w:r w:rsidR="00EB787C">
        <w:t xml:space="preserve"> about the child’s need for protection and the most appropriate intervention to ensure their safety, </w:t>
      </w:r>
      <w:proofErr w:type="gramStart"/>
      <w:r w:rsidR="00EB787C">
        <w:t>wellbeing</w:t>
      </w:r>
      <w:proofErr w:type="gramEnd"/>
      <w:r w:rsidR="00EB787C">
        <w:t xml:space="preserve"> and best interests</w:t>
      </w:r>
      <w:r w:rsidRPr="000E0142">
        <w:t>. Relevant documents include:</w:t>
      </w:r>
    </w:p>
    <w:p w14:paraId="6B412481" w14:textId="77777777" w:rsidR="000E0142" w:rsidRPr="000E0142" w:rsidRDefault="000E0142" w:rsidP="000E0142">
      <w:pPr>
        <w:pStyle w:val="ListParagraph"/>
        <w:numPr>
          <w:ilvl w:val="0"/>
          <w:numId w:val="14"/>
        </w:numPr>
      </w:pPr>
      <w:bookmarkStart w:id="5" w:name="_Hlk91131295"/>
      <w:r w:rsidRPr="000E0142">
        <w:t>record of recent family group meeting</w:t>
      </w:r>
    </w:p>
    <w:p w14:paraId="3D22530A" w14:textId="77777777" w:rsidR="000E0142" w:rsidRPr="000E0142" w:rsidRDefault="000E0142" w:rsidP="000E0142">
      <w:pPr>
        <w:pStyle w:val="ListParagraph"/>
        <w:numPr>
          <w:ilvl w:val="0"/>
          <w:numId w:val="14"/>
        </w:numPr>
      </w:pPr>
      <w:r w:rsidRPr="000E0142">
        <w:t>the child’s most recent case plan</w:t>
      </w:r>
    </w:p>
    <w:p w14:paraId="68D868F1" w14:textId="77777777" w:rsidR="000E0142" w:rsidRPr="000E0142" w:rsidRDefault="000E0142" w:rsidP="000E0142">
      <w:pPr>
        <w:pStyle w:val="ListParagraph"/>
        <w:numPr>
          <w:ilvl w:val="0"/>
          <w:numId w:val="14"/>
        </w:numPr>
      </w:pPr>
      <w:r w:rsidRPr="000E0142">
        <w:t>the most recent review of the child’s case plan (review report)</w:t>
      </w:r>
    </w:p>
    <w:p w14:paraId="513EDC3D" w14:textId="77777777" w:rsidR="000E0142" w:rsidRPr="000E0142" w:rsidRDefault="000E0142" w:rsidP="000E0142">
      <w:pPr>
        <w:pStyle w:val="ListParagraph"/>
        <w:numPr>
          <w:ilvl w:val="0"/>
          <w:numId w:val="14"/>
        </w:numPr>
      </w:pPr>
      <w:r w:rsidRPr="000E0142">
        <w:t xml:space="preserve">the most recently completed Structured </w:t>
      </w:r>
      <w:proofErr w:type="gramStart"/>
      <w:r w:rsidRPr="000E0142">
        <w:t>Decision Making</w:t>
      </w:r>
      <w:proofErr w:type="gramEnd"/>
      <w:r w:rsidRPr="000E0142">
        <w:t xml:space="preserve"> tools</w:t>
      </w:r>
    </w:p>
    <w:p w14:paraId="7393DF35" w14:textId="77777777" w:rsidR="000E0142" w:rsidRPr="000E0142" w:rsidRDefault="000E0142" w:rsidP="000E0142">
      <w:pPr>
        <w:pStyle w:val="ListParagraph"/>
        <w:numPr>
          <w:ilvl w:val="0"/>
          <w:numId w:val="14"/>
        </w:numPr>
      </w:pPr>
      <w:r w:rsidRPr="000E0142">
        <w:t>any independent assessment or report about the child and or parents commissioned during the period of the order</w:t>
      </w:r>
    </w:p>
    <w:p w14:paraId="0AE6E64C" w14:textId="77777777" w:rsidR="000E0142" w:rsidRPr="000E0142" w:rsidRDefault="000E0142" w:rsidP="000E0142">
      <w:pPr>
        <w:pStyle w:val="ListParagraph"/>
        <w:numPr>
          <w:ilvl w:val="0"/>
          <w:numId w:val="14"/>
        </w:numPr>
      </w:pPr>
      <w:r w:rsidRPr="000E0142">
        <w:t>any previous social assessment report</w:t>
      </w:r>
    </w:p>
    <w:p w14:paraId="571DB6C4" w14:textId="77777777" w:rsidR="000E0142" w:rsidRPr="000E0142" w:rsidRDefault="000E0142" w:rsidP="000E0142">
      <w:pPr>
        <w:pStyle w:val="ListParagraph"/>
        <w:numPr>
          <w:ilvl w:val="0"/>
          <w:numId w:val="14"/>
        </w:numPr>
      </w:pPr>
      <w:r w:rsidRPr="000E0142">
        <w:t>any referral made to support services for the child and the child’s parents</w:t>
      </w:r>
    </w:p>
    <w:p w14:paraId="29F97025" w14:textId="77777777" w:rsidR="000E0142" w:rsidRPr="000E0142" w:rsidRDefault="000E0142" w:rsidP="000E0142">
      <w:pPr>
        <w:pStyle w:val="ListParagraph"/>
        <w:numPr>
          <w:ilvl w:val="0"/>
          <w:numId w:val="14"/>
        </w:numPr>
      </w:pPr>
      <w:r w:rsidRPr="000E0142">
        <w:t>any child protection, criminal and domestic violence reports generated during the period of the order, if applicable</w:t>
      </w:r>
    </w:p>
    <w:p w14:paraId="61500758" w14:textId="77777777" w:rsidR="000E0142" w:rsidRPr="000E0142" w:rsidRDefault="000E0142" w:rsidP="000E0142">
      <w:pPr>
        <w:pStyle w:val="ListParagraph"/>
        <w:numPr>
          <w:ilvl w:val="0"/>
          <w:numId w:val="14"/>
        </w:numPr>
      </w:pPr>
      <w:r w:rsidRPr="000E0142">
        <w:t>a copy of the child’s birth certificate</w:t>
      </w:r>
    </w:p>
    <w:p w14:paraId="563694E2" w14:textId="11161BA7" w:rsidR="000E0142" w:rsidRPr="000E0142" w:rsidRDefault="000E0142" w:rsidP="000E0142">
      <w:pPr>
        <w:pStyle w:val="ListParagraph"/>
        <w:numPr>
          <w:ilvl w:val="0"/>
          <w:numId w:val="14"/>
        </w:numPr>
      </w:pPr>
      <w:r w:rsidRPr="000E0142">
        <w:t>a copy of the current or previous child protection order, including</w:t>
      </w:r>
      <w:r w:rsidR="0037181C">
        <w:t xml:space="preserve"> the most recent emergent</w:t>
      </w:r>
      <w:r w:rsidRPr="000E0142">
        <w:t xml:space="preserve"> orders or care agreements</w:t>
      </w:r>
    </w:p>
    <w:p w14:paraId="06FA7ABF" w14:textId="77777777" w:rsidR="000E0142" w:rsidRPr="000E0142" w:rsidRDefault="000E0142" w:rsidP="000E0142">
      <w:pPr>
        <w:pStyle w:val="ListParagraph"/>
        <w:numPr>
          <w:ilvl w:val="0"/>
          <w:numId w:val="14"/>
        </w:numPr>
      </w:pPr>
      <w:r w:rsidRPr="000E0142">
        <w:t xml:space="preserve">any family mapping and/or genograms </w:t>
      </w:r>
    </w:p>
    <w:p w14:paraId="5243A04B" w14:textId="77777777" w:rsidR="000E0142" w:rsidRPr="000E0142" w:rsidRDefault="000E0142" w:rsidP="000E0142">
      <w:pPr>
        <w:pStyle w:val="ListParagraph"/>
        <w:numPr>
          <w:ilvl w:val="0"/>
          <w:numId w:val="14"/>
        </w:numPr>
      </w:pPr>
      <w:r w:rsidRPr="000E0142">
        <w:t>contact visit records generated during the period of the order</w:t>
      </w:r>
    </w:p>
    <w:p w14:paraId="07692BDA" w14:textId="77777777" w:rsidR="000E0142" w:rsidRPr="000E0142" w:rsidRDefault="000E0142" w:rsidP="000E0142">
      <w:pPr>
        <w:pStyle w:val="ListParagraph"/>
        <w:numPr>
          <w:ilvl w:val="0"/>
          <w:numId w:val="14"/>
        </w:numPr>
      </w:pPr>
      <w:r w:rsidRPr="000E0142">
        <w:t>any other relevant documents.</w:t>
      </w:r>
    </w:p>
    <w:p w14:paraId="3F43FF8C" w14:textId="77777777" w:rsidR="000E0142" w:rsidRPr="000E0142" w:rsidRDefault="000E0142" w:rsidP="000E0142">
      <w:pPr>
        <w:pStyle w:val="Heading3"/>
      </w:pPr>
      <w:bookmarkStart w:id="6" w:name="_Hlk91056607"/>
      <w:bookmarkEnd w:id="5"/>
      <w:r w:rsidRPr="000E0142">
        <w:t>Swearing or affirming the affidavit</w:t>
      </w:r>
    </w:p>
    <w:p w14:paraId="2EAF809E" w14:textId="77777777" w:rsidR="000E0142" w:rsidRPr="000E0142" w:rsidRDefault="000E0142" w:rsidP="000E0142">
      <w:r w:rsidRPr="000E0142">
        <w:t>An affidavit is written evidence in support of an application for a child protection order. Affidavits must be either sworn or affirmed in front of a qualified witness as being true and correct.</w:t>
      </w:r>
    </w:p>
    <w:p w14:paraId="1940E869" w14:textId="6C04FF9C" w:rsidR="000E0142" w:rsidRPr="000E0142" w:rsidRDefault="000E0142" w:rsidP="00BE17E3">
      <w:r w:rsidRPr="000E0142">
        <w:t>It is therefore important that</w:t>
      </w:r>
      <w:r w:rsidR="00FA2931">
        <w:t xml:space="preserve"> t</w:t>
      </w:r>
      <w:r w:rsidRPr="000E0142">
        <w:t xml:space="preserve">he CSO who has formed the assessment that the child </w:t>
      </w:r>
      <w:proofErr w:type="gramStart"/>
      <w:r w:rsidRPr="000E0142">
        <w:t>is in need of</w:t>
      </w:r>
      <w:proofErr w:type="gramEnd"/>
      <w:r w:rsidRPr="000E0142">
        <w:t xml:space="preserve"> protection </w:t>
      </w:r>
      <w:r w:rsidR="00645319">
        <w:t>-</w:t>
      </w:r>
      <w:r w:rsidRPr="000E0142">
        <w:t xml:space="preserve"> is the person who swears or affirms the affidavit</w:t>
      </w:r>
      <w:r w:rsidR="00FA2931">
        <w:t>.</w:t>
      </w:r>
    </w:p>
    <w:bookmarkEnd w:id="4"/>
    <w:bookmarkEnd w:id="6"/>
    <w:p w14:paraId="036229C0" w14:textId="77777777" w:rsidR="000E0142" w:rsidRPr="000E0142" w:rsidRDefault="000E0142" w:rsidP="000E0142">
      <w:pPr>
        <w:pStyle w:val="Heading2"/>
      </w:pPr>
      <w:r w:rsidRPr="000E0142">
        <w:t>Escalation process</w:t>
      </w:r>
    </w:p>
    <w:p w14:paraId="56DB7B1B" w14:textId="0B1F3BBF" w:rsidR="000E0142" w:rsidRPr="000E0142" w:rsidRDefault="000E0142" w:rsidP="000E0142">
      <w:r w:rsidRPr="000E0142">
        <w:t>To ensure there is sufficient time</w:t>
      </w:r>
      <w:r w:rsidR="00457B29">
        <w:t xml:space="preserve"> to</w:t>
      </w:r>
      <w:r w:rsidRPr="000E0142">
        <w:t xml:space="preserve"> </w:t>
      </w:r>
      <w:r w:rsidR="00457B29">
        <w:t>refer a matter to the DCPL</w:t>
      </w:r>
      <w:r w:rsidRPr="000E0142">
        <w:t>, the OCFOS lawyer will escalate matters to the attention of the OCFOS senior l</w:t>
      </w:r>
      <w:r w:rsidR="00A403BC">
        <w:t>awyer</w:t>
      </w:r>
      <w:r w:rsidRPr="000E0142">
        <w:t xml:space="preserve"> if:</w:t>
      </w:r>
    </w:p>
    <w:p w14:paraId="74CDE5F0" w14:textId="3E9B32E6" w:rsidR="000E0142" w:rsidRDefault="000E0142" w:rsidP="00F35C80">
      <w:pPr>
        <w:pStyle w:val="ListParagraph"/>
        <w:numPr>
          <w:ilvl w:val="0"/>
          <w:numId w:val="16"/>
        </w:numPr>
      </w:pPr>
      <w:r w:rsidRPr="000E0142">
        <w:t>a legal consultation has not occurred</w:t>
      </w:r>
      <w:r w:rsidR="00FA2931">
        <w:t xml:space="preserve"> (expected to </w:t>
      </w:r>
      <w:r w:rsidR="00A403BC">
        <w:t>occur</w:t>
      </w:r>
      <w:r w:rsidR="00FA2931">
        <w:t xml:space="preserve"> 3 months prior to expiry</w:t>
      </w:r>
      <w:r w:rsidR="00A403BC">
        <w:t xml:space="preserve"> – after the practice panel)</w:t>
      </w:r>
    </w:p>
    <w:p w14:paraId="5A45C160" w14:textId="0B854A99" w:rsidR="00A403BC" w:rsidRPr="000E0142" w:rsidRDefault="00F35C80">
      <w:pPr>
        <w:pStyle w:val="ListParagraph"/>
        <w:numPr>
          <w:ilvl w:val="0"/>
          <w:numId w:val="16"/>
        </w:numPr>
      </w:pPr>
      <w:r>
        <w:t xml:space="preserve">a </w:t>
      </w:r>
      <w:r w:rsidR="00A403BC">
        <w:t xml:space="preserve">first draft of the initial affidavit has not been received from the CSO (expected to be received at least 6 weeks prior to expiry). </w:t>
      </w:r>
    </w:p>
    <w:p w14:paraId="4983DB44" w14:textId="7F570BA1" w:rsidR="000E0142" w:rsidRDefault="000E0142" w:rsidP="000E0142">
      <w:pPr>
        <w:rPr>
          <w:b/>
        </w:rPr>
      </w:pPr>
      <w:r w:rsidRPr="000E0142">
        <w:t xml:space="preserve">The senior legal officer will contact the CSSC manager and advise </w:t>
      </w:r>
      <w:r w:rsidR="00457B29">
        <w:t xml:space="preserve">that there is a risk the timeframes for referring to the DCPL may not be met. The senior legal officer and CSSC manager will </w:t>
      </w:r>
      <w:r w:rsidRPr="000E0142">
        <w:t xml:space="preserve">collaboratively determine the action required to ensure </w:t>
      </w:r>
      <w:r w:rsidR="00457B29">
        <w:t>the matter is progressed, ensuring timeframes for referring to the DCPL are met.</w:t>
      </w:r>
    </w:p>
    <w:p w14:paraId="6A40EFE9" w14:textId="5840BEBF" w:rsidR="00FA29CA" w:rsidRDefault="00FA29CA" w:rsidP="00FA29CA"/>
    <w:p w14:paraId="51EA6C3E" w14:textId="77777777" w:rsidR="00615C0F" w:rsidRPr="000F3089" w:rsidRDefault="00615C0F" w:rsidP="00615C0F">
      <w:pPr>
        <w:pBdr>
          <w:bottom w:val="single" w:sz="6" w:space="1" w:color="auto"/>
        </w:pBdr>
        <w:jc w:val="both"/>
        <w:rPr>
          <w:color w:val="333333"/>
          <w:sz w:val="16"/>
        </w:rPr>
      </w:pPr>
    </w:p>
    <w:p w14:paraId="78489DFF" w14:textId="38EDB076" w:rsidR="000E0142" w:rsidRDefault="000E0142" w:rsidP="000E0142">
      <w:pPr>
        <w:pStyle w:val="Heading3"/>
      </w:pPr>
      <w:r>
        <w:t>Version history</w:t>
      </w:r>
    </w:p>
    <w:p w14:paraId="65E895E2" w14:textId="77777777" w:rsidR="000E0142" w:rsidRDefault="000E0142" w:rsidP="00615C0F">
      <w:pPr>
        <w:tabs>
          <w:tab w:val="left" w:pos="2552"/>
        </w:tabs>
        <w:rPr>
          <w:b/>
          <w:szCs w:val="22"/>
        </w:rPr>
      </w:pPr>
    </w:p>
    <w:p w14:paraId="29475EF1" w14:textId="6D1DD022" w:rsidR="00615C0F" w:rsidRPr="000F3089" w:rsidRDefault="000E0142" w:rsidP="000E0142">
      <w:r>
        <w:rPr>
          <w:b/>
        </w:rPr>
        <w:t>Last reviewed</w:t>
      </w:r>
      <w:r w:rsidR="00615C0F" w:rsidRPr="000F3089">
        <w:rPr>
          <w:b/>
        </w:rPr>
        <w:t>:</w:t>
      </w:r>
      <w:r w:rsidR="00615C0F" w:rsidRPr="000F3089">
        <w:tab/>
      </w:r>
      <w:r w:rsidR="00A16A87">
        <w:t xml:space="preserve">May </w:t>
      </w:r>
      <w:r>
        <w:t>2022</w:t>
      </w:r>
    </w:p>
    <w:p w14:paraId="321203EA" w14:textId="15899729" w:rsidR="00615C0F" w:rsidRPr="000F3089" w:rsidRDefault="000E0142" w:rsidP="000E0142">
      <w:r>
        <w:rPr>
          <w:b/>
        </w:rPr>
        <w:t>Document owner</w:t>
      </w:r>
      <w:r w:rsidR="00615C0F" w:rsidRPr="000F3089">
        <w:rPr>
          <w:b/>
        </w:rPr>
        <w:t>:</w:t>
      </w:r>
      <w:r w:rsidR="00615C0F" w:rsidRPr="000F3089">
        <w:tab/>
      </w:r>
      <w:r>
        <w:t>Office of the Child and Family Official Solicitor</w:t>
      </w:r>
    </w:p>
    <w:p w14:paraId="782D02F8" w14:textId="77777777" w:rsidR="00615C0F" w:rsidRDefault="00615C0F" w:rsidP="00615C0F">
      <w:pPr>
        <w:pBdr>
          <w:bottom w:val="single" w:sz="4" w:space="1" w:color="auto"/>
        </w:pBdr>
        <w:rPr>
          <w:sz w:val="12"/>
        </w:rPr>
      </w:pPr>
    </w:p>
    <w:p w14:paraId="39FA9164" w14:textId="77777777" w:rsidR="00AF44CE" w:rsidRDefault="00AF44CE" w:rsidP="00A72C57">
      <w:pPr>
        <w:rPr>
          <w:lang w:val="en-US"/>
        </w:rPr>
        <w:sectPr w:rsidR="00AF44CE" w:rsidSect="00615C0F">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134" w:left="1134" w:header="709" w:footer="1474" w:gutter="0"/>
          <w:cols w:space="709"/>
          <w:docGrid w:linePitch="360"/>
        </w:sectPr>
      </w:pPr>
    </w:p>
    <w:p w14:paraId="74622AF5" w14:textId="7516EEB7" w:rsidR="00FA29CA" w:rsidRDefault="00FA29CA" w:rsidP="00A72C57">
      <w:pPr>
        <w:rPr>
          <w:lang w:val="en-US"/>
        </w:rPr>
      </w:pPr>
    </w:p>
    <w:p w14:paraId="0BD0CA1C" w14:textId="77777777" w:rsidR="00FA29CA" w:rsidRPr="00A72C57" w:rsidRDefault="00FA29CA" w:rsidP="00A72C57">
      <w:pPr>
        <w:rPr>
          <w:lang w:val="en-US"/>
        </w:rPr>
      </w:pPr>
    </w:p>
    <w:sectPr w:rsidR="00FA29CA"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CDE6" w14:textId="77777777" w:rsidR="00F267D8" w:rsidRDefault="00F267D8">
      <w:r>
        <w:separator/>
      </w:r>
    </w:p>
  </w:endnote>
  <w:endnote w:type="continuationSeparator" w:id="0">
    <w:p w14:paraId="6E1C2DF4" w14:textId="77777777" w:rsidR="00F267D8" w:rsidRDefault="00F2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4E37" w14:textId="77777777" w:rsidR="00C45FE8" w:rsidRDefault="00C45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C800" w14:textId="77777777" w:rsidR="00C45FE8" w:rsidRDefault="00C45F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5AB8" w14:textId="77777777" w:rsidR="00C45FE8" w:rsidRDefault="00C45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1A69" w14:textId="77777777" w:rsidR="00F267D8" w:rsidRDefault="00F267D8">
      <w:r>
        <w:separator/>
      </w:r>
    </w:p>
  </w:footnote>
  <w:footnote w:type="continuationSeparator" w:id="0">
    <w:p w14:paraId="2F0AD572" w14:textId="77777777" w:rsidR="00F267D8" w:rsidRDefault="00F26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AFB2" w14:textId="77777777" w:rsidR="00C45FE8" w:rsidRDefault="00C45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3DFBB7B1" w:rsidR="00B21459" w:rsidRDefault="00C45FE8">
    <w:pPr>
      <w:pStyle w:val="Header"/>
    </w:pPr>
    <w:r>
      <w:rPr>
        <w:noProof/>
      </w:rPr>
      <w:drawing>
        <wp:anchor distT="0" distB="0" distL="114300" distR="114300" simplePos="0" relativeHeight="251657216" behindDoc="1" locked="0" layoutInCell="1" allowOverlap="1" wp14:anchorId="1ADAF626" wp14:editId="141344AE">
          <wp:simplePos x="0" y="0"/>
          <wp:positionH relativeFrom="column">
            <wp:posOffset>-723900</wp:posOffset>
          </wp:positionH>
          <wp:positionV relativeFrom="paragraph">
            <wp:posOffset>-453075</wp:posOffset>
          </wp:positionV>
          <wp:extent cx="7556400" cy="106812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38F1" w14:textId="77777777" w:rsidR="00C45FE8" w:rsidRDefault="00C4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CD7"/>
    <w:multiLevelType w:val="hybridMultilevel"/>
    <w:tmpl w:val="FF1EEB24"/>
    <w:lvl w:ilvl="0" w:tplc="30B6168E">
      <w:numFmt w:val="bullet"/>
      <w:lvlText w:val=""/>
      <w:lvlJc w:val="left"/>
      <w:pPr>
        <w:ind w:left="783" w:hanging="360"/>
      </w:pPr>
      <w:rPr>
        <w:rFonts w:ascii="Symbol" w:eastAsia="Times New Roman" w:hAnsi="Symbol" w:cs="Times New Roman"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 w15:restartNumberingAfterBreak="0">
    <w:nsid w:val="062F7910"/>
    <w:multiLevelType w:val="hybridMultilevel"/>
    <w:tmpl w:val="417A6BC0"/>
    <w:lvl w:ilvl="0" w:tplc="30B6168E">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AC054B"/>
    <w:multiLevelType w:val="hybridMultilevel"/>
    <w:tmpl w:val="68248B0E"/>
    <w:lvl w:ilvl="0" w:tplc="30B6168E">
      <w:numFmt w:val="bullet"/>
      <w:lvlText w:val=""/>
      <w:lvlJc w:val="left"/>
      <w:pPr>
        <w:ind w:left="783"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3E7298"/>
    <w:multiLevelType w:val="hybridMultilevel"/>
    <w:tmpl w:val="1EDAE39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0E980E0D"/>
    <w:multiLevelType w:val="hybridMultilevel"/>
    <w:tmpl w:val="5248E4D4"/>
    <w:lvl w:ilvl="0" w:tplc="30B6168E">
      <w:numFmt w:val="bullet"/>
      <w:lvlText w:val=""/>
      <w:lvlJc w:val="left"/>
      <w:pPr>
        <w:ind w:left="783"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914B4"/>
    <w:multiLevelType w:val="hybridMultilevel"/>
    <w:tmpl w:val="CF9C4BF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 w15:restartNumberingAfterBreak="0">
    <w:nsid w:val="12A61DB7"/>
    <w:multiLevelType w:val="hybridMultilevel"/>
    <w:tmpl w:val="741A6ABC"/>
    <w:lvl w:ilvl="0" w:tplc="30B6168E">
      <w:numFmt w:val="bullet"/>
      <w:lvlText w:val=""/>
      <w:lvlJc w:val="left"/>
      <w:pPr>
        <w:ind w:left="783" w:hanging="360"/>
      </w:pPr>
      <w:rPr>
        <w:rFonts w:ascii="Symbol" w:eastAsia="Times New Roman" w:hAnsi="Symbol" w:cs="Times New Roman"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7" w15:restartNumberingAfterBreak="0">
    <w:nsid w:val="1C6E6720"/>
    <w:multiLevelType w:val="hybridMultilevel"/>
    <w:tmpl w:val="FF3EA77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29CD5F93"/>
    <w:multiLevelType w:val="hybridMultilevel"/>
    <w:tmpl w:val="B62C596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15:restartNumberingAfterBreak="0">
    <w:nsid w:val="2F896468"/>
    <w:multiLevelType w:val="hybridMultilevel"/>
    <w:tmpl w:val="52EE0A0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0" w15:restartNumberingAfterBreak="0">
    <w:nsid w:val="32AD66A5"/>
    <w:multiLevelType w:val="hybridMultilevel"/>
    <w:tmpl w:val="115AF7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5B51B18"/>
    <w:multiLevelType w:val="hybridMultilevel"/>
    <w:tmpl w:val="47EA43C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15:restartNumberingAfterBreak="0">
    <w:nsid w:val="386712A8"/>
    <w:multiLevelType w:val="hybridMultilevel"/>
    <w:tmpl w:val="D8A245D4"/>
    <w:lvl w:ilvl="0" w:tplc="30B6168E">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527691"/>
    <w:multiLevelType w:val="hybridMultilevel"/>
    <w:tmpl w:val="DC901326"/>
    <w:lvl w:ilvl="0" w:tplc="2EE43A08">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A572BD"/>
    <w:multiLevelType w:val="hybridMultilevel"/>
    <w:tmpl w:val="261EB22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6" w15:restartNumberingAfterBreak="0">
    <w:nsid w:val="5CC377A5"/>
    <w:multiLevelType w:val="hybridMultilevel"/>
    <w:tmpl w:val="7F486078"/>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510502"/>
    <w:multiLevelType w:val="hybridMultilevel"/>
    <w:tmpl w:val="93E66A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D66297"/>
    <w:multiLevelType w:val="hybridMultilevel"/>
    <w:tmpl w:val="038EC0B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EF72ACD"/>
    <w:multiLevelType w:val="hybridMultilevel"/>
    <w:tmpl w:val="643A7398"/>
    <w:lvl w:ilvl="0" w:tplc="30B6168E">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6"/>
  </w:num>
  <w:num w:numId="4">
    <w:abstractNumId w:val="6"/>
  </w:num>
  <w:num w:numId="5">
    <w:abstractNumId w:val="19"/>
  </w:num>
  <w:num w:numId="6">
    <w:abstractNumId w:val="4"/>
  </w:num>
  <w:num w:numId="7">
    <w:abstractNumId w:val="17"/>
  </w:num>
  <w:num w:numId="8">
    <w:abstractNumId w:val="7"/>
  </w:num>
  <w:num w:numId="9">
    <w:abstractNumId w:val="10"/>
  </w:num>
  <w:num w:numId="10">
    <w:abstractNumId w:val="18"/>
  </w:num>
  <w:num w:numId="11">
    <w:abstractNumId w:val="11"/>
  </w:num>
  <w:num w:numId="12">
    <w:abstractNumId w:val="15"/>
  </w:num>
  <w:num w:numId="13">
    <w:abstractNumId w:val="9"/>
  </w:num>
  <w:num w:numId="14">
    <w:abstractNumId w:val="3"/>
  </w:num>
  <w:num w:numId="15">
    <w:abstractNumId w:val="8"/>
  </w:num>
  <w:num w:numId="16">
    <w:abstractNumId w:val="5"/>
  </w:num>
  <w:num w:numId="17">
    <w:abstractNumId w:val="0"/>
  </w:num>
  <w:num w:numId="18">
    <w:abstractNumId w:val="14"/>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030"/>
    <w:rsid w:val="0008615F"/>
    <w:rsid w:val="00087D53"/>
    <w:rsid w:val="000915B0"/>
    <w:rsid w:val="00091807"/>
    <w:rsid w:val="00092B8A"/>
    <w:rsid w:val="00093226"/>
    <w:rsid w:val="000940F2"/>
    <w:rsid w:val="00095398"/>
    <w:rsid w:val="000957D1"/>
    <w:rsid w:val="000958D1"/>
    <w:rsid w:val="000A1A2A"/>
    <w:rsid w:val="000A2002"/>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0142"/>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27564"/>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181C"/>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57B29"/>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A7AA4"/>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D48"/>
    <w:rsid w:val="00632F8F"/>
    <w:rsid w:val="00633B9B"/>
    <w:rsid w:val="00633CAB"/>
    <w:rsid w:val="00635F8E"/>
    <w:rsid w:val="0063788F"/>
    <w:rsid w:val="00640F77"/>
    <w:rsid w:val="006410C2"/>
    <w:rsid w:val="006430C4"/>
    <w:rsid w:val="006443F5"/>
    <w:rsid w:val="0064525C"/>
    <w:rsid w:val="00645319"/>
    <w:rsid w:val="00650723"/>
    <w:rsid w:val="00650B89"/>
    <w:rsid w:val="00652F12"/>
    <w:rsid w:val="00654153"/>
    <w:rsid w:val="006563E8"/>
    <w:rsid w:val="0065671E"/>
    <w:rsid w:val="006609C0"/>
    <w:rsid w:val="00660F23"/>
    <w:rsid w:val="00661286"/>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868"/>
    <w:rsid w:val="006B2F0B"/>
    <w:rsid w:val="006B38CE"/>
    <w:rsid w:val="006B4416"/>
    <w:rsid w:val="006B5B47"/>
    <w:rsid w:val="006B5F51"/>
    <w:rsid w:val="006B7E8F"/>
    <w:rsid w:val="006C18D7"/>
    <w:rsid w:val="006C1E68"/>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1CE"/>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40D4"/>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0579"/>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15B8B"/>
    <w:rsid w:val="00A16A87"/>
    <w:rsid w:val="00A201BE"/>
    <w:rsid w:val="00A20720"/>
    <w:rsid w:val="00A21D0E"/>
    <w:rsid w:val="00A23052"/>
    <w:rsid w:val="00A231EE"/>
    <w:rsid w:val="00A23C64"/>
    <w:rsid w:val="00A244B0"/>
    <w:rsid w:val="00A247F2"/>
    <w:rsid w:val="00A27292"/>
    <w:rsid w:val="00A31221"/>
    <w:rsid w:val="00A312C4"/>
    <w:rsid w:val="00A32E6B"/>
    <w:rsid w:val="00A364D6"/>
    <w:rsid w:val="00A403BC"/>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37889"/>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17E3"/>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31EA"/>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87C"/>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06736"/>
    <w:rsid w:val="00F11A7E"/>
    <w:rsid w:val="00F123F2"/>
    <w:rsid w:val="00F1590C"/>
    <w:rsid w:val="00F16B95"/>
    <w:rsid w:val="00F2021D"/>
    <w:rsid w:val="00F227E8"/>
    <w:rsid w:val="00F25849"/>
    <w:rsid w:val="00F25E1A"/>
    <w:rsid w:val="00F267D8"/>
    <w:rsid w:val="00F26C9C"/>
    <w:rsid w:val="00F27EDC"/>
    <w:rsid w:val="00F31EA8"/>
    <w:rsid w:val="00F33A82"/>
    <w:rsid w:val="00F33A9D"/>
    <w:rsid w:val="00F341FA"/>
    <w:rsid w:val="00F35C80"/>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4F1"/>
    <w:rsid w:val="00FA076F"/>
    <w:rsid w:val="00FA1C91"/>
    <w:rsid w:val="00FA2655"/>
    <w:rsid w:val="00FA2931"/>
    <w:rsid w:val="00FA29CA"/>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basedOn w:val="Normal"/>
    <w:uiPriority w:val="34"/>
    <w:qFormat/>
    <w:rsid w:val="000E0142"/>
    <w:pPr>
      <w:ind w:left="720"/>
      <w:contextualSpacing/>
    </w:pPr>
  </w:style>
  <w:style w:type="paragraph" w:styleId="CommentText">
    <w:name w:val="annotation text"/>
    <w:basedOn w:val="Normal"/>
    <w:link w:val="CommentTextChar"/>
    <w:semiHidden/>
    <w:unhideWhenUsed/>
    <w:rsid w:val="000E0142"/>
    <w:rPr>
      <w:sz w:val="20"/>
      <w:szCs w:val="20"/>
    </w:rPr>
  </w:style>
  <w:style w:type="character" w:customStyle="1" w:styleId="CommentTextChar">
    <w:name w:val="Comment Text Char"/>
    <w:basedOn w:val="DefaultParagraphFont"/>
    <w:link w:val="CommentText"/>
    <w:semiHidden/>
    <w:rsid w:val="000E0142"/>
    <w:rPr>
      <w:rFonts w:ascii="Arial" w:hAnsi="Arial"/>
    </w:rPr>
  </w:style>
  <w:style w:type="character" w:styleId="CommentReference">
    <w:name w:val="annotation reference"/>
    <w:rsid w:val="000E0142"/>
    <w:rPr>
      <w:sz w:val="16"/>
      <w:szCs w:val="16"/>
    </w:rPr>
  </w:style>
  <w:style w:type="character" w:styleId="Emphasis">
    <w:name w:val="Emphasis"/>
    <w:basedOn w:val="DefaultParagraphFont"/>
    <w:qFormat/>
    <w:rsid w:val="000E0142"/>
    <w:rPr>
      <w:i/>
      <w:iCs/>
    </w:rPr>
  </w:style>
  <w:style w:type="paragraph" w:customStyle="1" w:styleId="tableBodytext">
    <w:name w:val="table Body text"/>
    <w:basedOn w:val="Normal"/>
    <w:link w:val="tableBodytextChar"/>
    <w:rsid w:val="00FA29CA"/>
    <w:pPr>
      <w:spacing w:before="60" w:after="60"/>
    </w:pPr>
    <w:rPr>
      <w:sz w:val="18"/>
      <w:lang w:eastAsia="en-US"/>
    </w:rPr>
  </w:style>
  <w:style w:type="character" w:customStyle="1" w:styleId="tableBodytextChar">
    <w:name w:val="table Body text Char"/>
    <w:link w:val="tableBodytext"/>
    <w:rsid w:val="00FA29CA"/>
    <w:rPr>
      <w:rFonts w:ascii="Arial" w:hAnsi="Arial"/>
      <w:sz w:val="18"/>
      <w:szCs w:val="24"/>
      <w:lang w:eastAsia="en-US"/>
    </w:rPr>
  </w:style>
  <w:style w:type="character" w:styleId="Hyperlink">
    <w:name w:val="Hyperlink"/>
    <w:basedOn w:val="DefaultParagraphFont"/>
    <w:unhideWhenUsed/>
    <w:rsid w:val="00FA29CA"/>
    <w:rPr>
      <w:color w:val="0000FF" w:themeColor="hyperlink"/>
      <w:u w:val="single"/>
    </w:rPr>
  </w:style>
  <w:style w:type="character" w:styleId="UnresolvedMention">
    <w:name w:val="Unresolved Mention"/>
    <w:basedOn w:val="DefaultParagraphFont"/>
    <w:uiPriority w:val="99"/>
    <w:semiHidden/>
    <w:unhideWhenUsed/>
    <w:rsid w:val="00EB787C"/>
    <w:rPr>
      <w:color w:val="605E5C"/>
      <w:shd w:val="clear" w:color="auto" w:fill="E1DFDD"/>
    </w:rPr>
  </w:style>
  <w:style w:type="character" w:styleId="FollowedHyperlink">
    <w:name w:val="FollowedHyperlink"/>
    <w:basedOn w:val="DefaultParagraphFont"/>
    <w:semiHidden/>
    <w:unhideWhenUsed/>
    <w:rsid w:val="00EB787C"/>
    <w:rPr>
      <w:color w:val="800080" w:themeColor="followedHyperlink"/>
      <w:u w:val="single"/>
    </w:rPr>
  </w:style>
  <w:style w:type="paragraph" w:styleId="CommentSubject">
    <w:name w:val="annotation subject"/>
    <w:basedOn w:val="CommentText"/>
    <w:next w:val="CommentText"/>
    <w:link w:val="CommentSubjectChar"/>
    <w:semiHidden/>
    <w:unhideWhenUsed/>
    <w:rsid w:val="00645319"/>
    <w:rPr>
      <w:b/>
      <w:bCs/>
    </w:rPr>
  </w:style>
  <w:style w:type="character" w:customStyle="1" w:styleId="CommentSubjectChar">
    <w:name w:val="Comment Subject Char"/>
    <w:basedOn w:val="CommentTextChar"/>
    <w:link w:val="CommentSubject"/>
    <w:semiHidden/>
    <w:rsid w:val="0064531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slation.qld.gov.au/view/html/inforce/current/sl-2016-009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1297</Words>
  <Characters>6816</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DCYJMA Operational Policy</vt:lpstr>
    </vt:vector>
  </TitlesOfParts>
  <Manager>Department of Communities, Child Safety and Disability Services</Manager>
  <Company>Queensland Government</Company>
  <LinksUpToDate>false</LinksUpToDate>
  <CharactersWithSpaces>8097</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DCYJMA Operational Policy</dc:title>
  <dc:subject>online templates</dc:subject>
  <dc:creator>Queensland Government</dc:creator>
  <cp:keywords>operational policy; template; A4</cp:keywords>
  <cp:lastModifiedBy>Romola Roles</cp:lastModifiedBy>
  <cp:revision>2</cp:revision>
  <cp:lastPrinted>2022-05-06T00:52:00Z</cp:lastPrinted>
  <dcterms:created xsi:type="dcterms:W3CDTF">2022-05-24T03:54:00Z</dcterms:created>
  <dcterms:modified xsi:type="dcterms:W3CDTF">2022-05-24T03:54:00Z</dcterms:modified>
  <cp:category>template</cp:category>
</cp:coreProperties>
</file>